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3D3CB6D4"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164C04">
        <w:rPr>
          <w:rFonts w:cs="Arial"/>
          <w:lang w:val="en-US"/>
        </w:rPr>
        <w:t>#113</w:t>
      </w:r>
      <w:r w:rsidR="00220405">
        <w:rPr>
          <w:rFonts w:cs="Arial"/>
          <w:lang w:val="en-US" w:eastAsia="ja-JP"/>
        </w:rPr>
        <w:t>-e</w:t>
      </w:r>
      <w:r w:rsidRPr="003100C3">
        <w:rPr>
          <w:rFonts w:cs="Arial"/>
          <w:lang w:val="en-US"/>
        </w:rPr>
        <w:tab/>
      </w:r>
      <w:r w:rsidR="009B071E">
        <w:rPr>
          <w:rFonts w:cs="Arial"/>
          <w:sz w:val="28"/>
          <w:szCs w:val="32"/>
          <w:lang w:val="en-US"/>
        </w:rPr>
        <w:t>R2-2100781</w:t>
      </w:r>
    </w:p>
    <w:p w14:paraId="567B26D3" w14:textId="25D07CC6"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164C04">
        <w:rPr>
          <w:rFonts w:cs="Arial"/>
          <w:lang w:val="en-US" w:eastAsia="ja-JP"/>
        </w:rPr>
        <w:t>25</w:t>
      </w:r>
      <w:r w:rsidR="00164C04" w:rsidRPr="00164C04">
        <w:rPr>
          <w:rFonts w:cs="Arial"/>
          <w:vertAlign w:val="superscript"/>
          <w:lang w:val="en-US" w:eastAsia="ja-JP"/>
        </w:rPr>
        <w:t>th</w:t>
      </w:r>
      <w:r w:rsidR="00164C04">
        <w:rPr>
          <w:rFonts w:cs="Arial"/>
          <w:lang w:val="en-US" w:eastAsia="ja-JP"/>
        </w:rPr>
        <w:t xml:space="preserve"> Jan - 5</w:t>
      </w:r>
      <w:r w:rsidR="00CB49EB" w:rsidRPr="00164C04">
        <w:rPr>
          <w:rFonts w:cs="Arial"/>
          <w:vertAlign w:val="superscript"/>
          <w:lang w:val="en-US" w:eastAsia="ja-JP"/>
        </w:rPr>
        <w:t>th</w:t>
      </w:r>
      <w:r w:rsidR="00164C04">
        <w:rPr>
          <w:rFonts w:cs="Arial"/>
          <w:lang w:val="en-US" w:eastAsia="ja-JP"/>
        </w:rPr>
        <w:t xml:space="preserve"> Feb, 2021</w:t>
      </w:r>
      <w:r w:rsidR="007D6F65">
        <w:rPr>
          <w:rFonts w:cs="Arial" w:hint="eastAsia"/>
          <w:lang w:val="en-US" w:eastAsia="ja-JP"/>
        </w:rPr>
        <w:t xml:space="preserve">             </w:t>
      </w:r>
      <w:r w:rsidR="00064199">
        <w:rPr>
          <w:rFonts w:cs="Arial" w:hint="eastAsia"/>
          <w:lang w:val="en-US" w:eastAsia="ja-JP"/>
        </w:rPr>
        <w:t xml:space="preserve">          </w:t>
      </w:r>
    </w:p>
    <w:p w14:paraId="3ED31032" w14:textId="437A79D7"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A009BD">
        <w:rPr>
          <w:rFonts w:cs="Arial" w:hint="eastAsia"/>
          <w:sz w:val="22"/>
          <w:szCs w:val="22"/>
          <w:lang w:val="en-US" w:eastAsia="ja-JP"/>
        </w:rPr>
        <w:t>5</w:t>
      </w:r>
      <w:r w:rsidR="00F339DB">
        <w:rPr>
          <w:rFonts w:cs="Arial"/>
          <w:sz w:val="22"/>
          <w:szCs w:val="22"/>
          <w:lang w:val="en-US" w:eastAsia="ja-JP"/>
        </w:rPr>
        <w:t>.</w:t>
      </w:r>
      <w:r w:rsidR="00410745">
        <w:rPr>
          <w:rFonts w:cs="Arial" w:hint="eastAsia"/>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7D06CC3"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AF3157">
        <w:rPr>
          <w:rFonts w:cs="Arial"/>
          <w:sz w:val="22"/>
          <w:szCs w:val="22"/>
          <w:lang w:val="en-US" w:eastAsia="ja-JP"/>
        </w:rPr>
        <w:t>uplink time synchronization for TSN</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45684B5" w14:textId="7D5994F7" w:rsidR="00DF6766" w:rsidRDefault="007A7E0A" w:rsidP="00901DE6">
      <w:pPr>
        <w:pStyle w:val="a9"/>
        <w:rPr>
          <w:rFonts w:ascii="Times New Roman" w:hAnsi="Times New Roman"/>
          <w:lang w:val="en-US" w:eastAsia="ja-JP"/>
        </w:rPr>
      </w:pPr>
      <w:r>
        <w:rPr>
          <w:rFonts w:ascii="Times New Roman" w:hAnsi="Times New Roman" w:hint="eastAsia"/>
          <w:lang w:val="en-US" w:eastAsia="ja-JP"/>
        </w:rPr>
        <w:t>In the last meeting</w:t>
      </w:r>
      <w:r w:rsidR="009242B3">
        <w:rPr>
          <w:rFonts w:ascii="Times New Roman" w:hAnsi="Times New Roman" w:hint="eastAsia"/>
          <w:lang w:val="en-US" w:eastAsia="ja-JP"/>
        </w:rPr>
        <w:t xml:space="preserve">, </w:t>
      </w:r>
      <w:r>
        <w:rPr>
          <w:rFonts w:ascii="Times New Roman" w:hAnsi="Times New Roman"/>
          <w:lang w:val="en-US" w:eastAsia="ja-JP"/>
        </w:rPr>
        <w:t>RAN2 discussed the Uu interface synchronization error budget, and the following results are achieved. Based on the agreed budget, this paper provides further views on PD (propagation delay) compensation from higher layer perspective.</w:t>
      </w:r>
    </w:p>
    <w:p w14:paraId="1273F3D1" w14:textId="013660B3" w:rsidR="009242B3" w:rsidRDefault="009242B3" w:rsidP="00901DE6">
      <w:pPr>
        <w:pStyle w:val="a9"/>
        <w:rPr>
          <w:rFonts w:ascii="Times New Roman" w:hAnsi="Times New Roman"/>
          <w:lang w:val="en-US" w:eastAsia="ja-JP"/>
        </w:rPr>
      </w:pPr>
      <w:r>
        <w:rPr>
          <w:rFonts w:ascii="Times New Roman" w:hAnsi="Times New Roman"/>
          <w:lang w:val="en-US" w:eastAsia="ja-JP"/>
        </w:rPr>
        <w:t>------------------------------------------------------Excerpt from [1] ---------------------------------------------------------</w:t>
      </w:r>
    </w:p>
    <w:p w14:paraId="1DB0037A" w14:textId="77777777" w:rsidR="007A7E0A" w:rsidRPr="007A7E0A" w:rsidRDefault="007A7E0A" w:rsidP="007A7E0A">
      <w:pPr>
        <w:pStyle w:val="a9"/>
        <w:rPr>
          <w:rFonts w:ascii="Times New Roman" w:hAnsi="Times New Roman"/>
          <w:lang w:val="en-US" w:eastAsia="ja-JP"/>
        </w:rPr>
      </w:pPr>
      <w:r w:rsidRPr="007A7E0A">
        <w:rPr>
          <w:rFonts w:ascii="Times New Roman" w:hAnsi="Times New Roman"/>
          <w:lang w:val="en-US" w:eastAsia="ja-JP"/>
        </w:rPr>
        <w:t>The agreed synchronicity budget per Uu interface is tabulated below:</w:t>
      </w:r>
    </w:p>
    <w:p w14:paraId="04822289" w14:textId="77777777" w:rsidR="007A7E0A" w:rsidRPr="007A7E0A" w:rsidRDefault="007A7E0A" w:rsidP="007A7E0A">
      <w:pPr>
        <w:pStyle w:val="a9"/>
        <w:rPr>
          <w:rFonts w:ascii="Times New Roman" w:hAnsi="Times New Roman"/>
          <w:lang w:val="en-US" w:eastAsia="ja-JP"/>
        </w:rPr>
      </w:pPr>
    </w:p>
    <w:tbl>
      <w:tblPr>
        <w:tblStyle w:val="aff4"/>
        <w:tblW w:w="0" w:type="auto"/>
        <w:jc w:val="center"/>
        <w:tblLook w:val="04A0" w:firstRow="1" w:lastRow="0" w:firstColumn="1" w:lastColumn="0" w:noHBand="0" w:noVBand="1"/>
      </w:tblPr>
      <w:tblGrid>
        <w:gridCol w:w="2972"/>
        <w:gridCol w:w="3402"/>
      </w:tblGrid>
      <w:tr w:rsidR="007A7E0A" w:rsidRPr="007A7E0A" w14:paraId="4E24C42A" w14:textId="77777777" w:rsidTr="007A7E0A">
        <w:trPr>
          <w:trHeight w:val="233"/>
          <w:jc w:val="center"/>
        </w:trPr>
        <w:tc>
          <w:tcPr>
            <w:tcW w:w="2972" w:type="dxa"/>
          </w:tcPr>
          <w:p w14:paraId="0F7392A0" w14:textId="77777777" w:rsidR="007A7E0A" w:rsidRPr="007A7E0A" w:rsidRDefault="007A7E0A" w:rsidP="007A7E0A">
            <w:pPr>
              <w:pStyle w:val="a9"/>
              <w:rPr>
                <w:rFonts w:ascii="Times New Roman" w:eastAsia="ＭＳ 明朝" w:hAnsi="Times New Roman"/>
                <w:sz w:val="20"/>
                <w:szCs w:val="20"/>
                <w:lang w:val="en-US" w:eastAsia="ja-JP"/>
              </w:rPr>
            </w:pPr>
            <w:r w:rsidRPr="007A7E0A">
              <w:rPr>
                <w:rFonts w:ascii="Times New Roman" w:eastAsia="ＭＳ 明朝" w:hAnsi="Times New Roman"/>
                <w:sz w:val="20"/>
                <w:szCs w:val="20"/>
                <w:lang w:val="en-US" w:eastAsia="ja-JP"/>
              </w:rPr>
              <w:t>Scenario</w:t>
            </w:r>
          </w:p>
        </w:tc>
        <w:tc>
          <w:tcPr>
            <w:tcW w:w="3402" w:type="dxa"/>
          </w:tcPr>
          <w:p w14:paraId="5FCCC815" w14:textId="77777777" w:rsidR="007A7E0A" w:rsidRPr="007A7E0A" w:rsidRDefault="007A7E0A" w:rsidP="007A7E0A">
            <w:pPr>
              <w:pStyle w:val="a9"/>
              <w:rPr>
                <w:rFonts w:ascii="Times New Roman" w:eastAsia="ＭＳ 明朝" w:hAnsi="Times New Roman"/>
                <w:sz w:val="20"/>
                <w:szCs w:val="20"/>
                <w:lang w:val="en-US" w:eastAsia="ja-JP"/>
              </w:rPr>
            </w:pPr>
            <w:r w:rsidRPr="007A7E0A">
              <w:rPr>
                <w:rFonts w:ascii="Times New Roman" w:eastAsia="ＭＳ 明朝" w:hAnsi="Times New Roman"/>
                <w:sz w:val="20"/>
                <w:szCs w:val="20"/>
                <w:lang w:val="en-US" w:eastAsia="ja-JP"/>
              </w:rPr>
              <w:t>Single Uu interface Budget</w:t>
            </w:r>
          </w:p>
        </w:tc>
      </w:tr>
      <w:tr w:rsidR="007A7E0A" w:rsidRPr="007A7E0A" w14:paraId="16CE3E9B" w14:textId="77777777" w:rsidTr="007A7E0A">
        <w:trPr>
          <w:trHeight w:val="246"/>
          <w:jc w:val="center"/>
        </w:trPr>
        <w:tc>
          <w:tcPr>
            <w:tcW w:w="2972" w:type="dxa"/>
          </w:tcPr>
          <w:p w14:paraId="738666BB" w14:textId="77777777" w:rsidR="007A7E0A" w:rsidRPr="007A7E0A" w:rsidRDefault="007A7E0A" w:rsidP="007A7E0A">
            <w:pPr>
              <w:pStyle w:val="a9"/>
              <w:rPr>
                <w:rFonts w:ascii="Times New Roman" w:eastAsia="ＭＳ 明朝" w:hAnsi="Times New Roman"/>
                <w:sz w:val="20"/>
                <w:szCs w:val="20"/>
                <w:highlight w:val="yellow"/>
                <w:lang w:val="en-US" w:eastAsia="ja-JP"/>
              </w:rPr>
            </w:pPr>
            <w:r w:rsidRPr="007A7E0A">
              <w:rPr>
                <w:rFonts w:ascii="Times New Roman" w:eastAsia="ＭＳ 明朝" w:hAnsi="Times New Roman"/>
                <w:sz w:val="20"/>
                <w:szCs w:val="20"/>
                <w:highlight w:val="yellow"/>
                <w:lang w:val="en-US" w:eastAsia="ja-JP"/>
              </w:rPr>
              <w:t>Control-to-Control</w:t>
            </w:r>
          </w:p>
        </w:tc>
        <w:tc>
          <w:tcPr>
            <w:tcW w:w="3402" w:type="dxa"/>
          </w:tcPr>
          <w:p w14:paraId="06200E38" w14:textId="77777777" w:rsidR="007A7E0A" w:rsidRPr="007A7E0A" w:rsidRDefault="007A7E0A" w:rsidP="007A7E0A">
            <w:pPr>
              <w:pStyle w:val="a9"/>
              <w:rPr>
                <w:rFonts w:ascii="Times New Roman" w:eastAsia="ＭＳ 明朝" w:hAnsi="Times New Roman"/>
                <w:sz w:val="20"/>
                <w:szCs w:val="20"/>
                <w:highlight w:val="yellow"/>
                <w:lang w:val="en-US" w:eastAsia="ja-JP"/>
              </w:rPr>
            </w:pPr>
            <w:r w:rsidRPr="007A7E0A">
              <w:rPr>
                <w:rFonts w:ascii="Times New Roman" w:eastAsia="ＭＳ 明朝" w:hAnsi="Times New Roman"/>
                <w:sz w:val="20"/>
                <w:szCs w:val="20"/>
                <w:highlight w:val="yellow"/>
                <w:lang w:val="en-US" w:eastAsia="ja-JP"/>
              </w:rPr>
              <w:t>±145ns to ±275ns</w:t>
            </w:r>
          </w:p>
        </w:tc>
      </w:tr>
      <w:tr w:rsidR="007A7E0A" w:rsidRPr="007A7E0A" w14:paraId="5ADC5E1F" w14:textId="77777777" w:rsidTr="007A7E0A">
        <w:trPr>
          <w:trHeight w:val="236"/>
          <w:jc w:val="center"/>
        </w:trPr>
        <w:tc>
          <w:tcPr>
            <w:tcW w:w="2972" w:type="dxa"/>
          </w:tcPr>
          <w:p w14:paraId="014485FF" w14:textId="77777777" w:rsidR="007A7E0A" w:rsidRPr="007A7E0A" w:rsidRDefault="007A7E0A" w:rsidP="007A7E0A">
            <w:pPr>
              <w:pStyle w:val="a9"/>
              <w:rPr>
                <w:rFonts w:ascii="Times New Roman" w:eastAsia="ＭＳ 明朝" w:hAnsi="Times New Roman"/>
                <w:sz w:val="20"/>
                <w:szCs w:val="20"/>
                <w:highlight w:val="yellow"/>
                <w:lang w:val="en-US" w:eastAsia="ja-JP"/>
              </w:rPr>
            </w:pPr>
            <w:r w:rsidRPr="007A7E0A">
              <w:rPr>
                <w:rFonts w:ascii="Times New Roman" w:eastAsia="ＭＳ 明朝" w:hAnsi="Times New Roman"/>
                <w:sz w:val="20"/>
                <w:szCs w:val="20"/>
                <w:highlight w:val="yellow"/>
                <w:lang w:val="en-US" w:eastAsia="ja-JP"/>
              </w:rPr>
              <w:t>Smart Grid</w:t>
            </w:r>
          </w:p>
        </w:tc>
        <w:tc>
          <w:tcPr>
            <w:tcW w:w="3402" w:type="dxa"/>
          </w:tcPr>
          <w:p w14:paraId="3CD53844" w14:textId="77777777" w:rsidR="007A7E0A" w:rsidRPr="007A7E0A" w:rsidRDefault="007A7E0A" w:rsidP="007A7E0A">
            <w:pPr>
              <w:pStyle w:val="a9"/>
              <w:rPr>
                <w:rFonts w:ascii="Times New Roman" w:eastAsia="ＭＳ 明朝" w:hAnsi="Times New Roman"/>
                <w:sz w:val="20"/>
                <w:szCs w:val="20"/>
                <w:highlight w:val="yellow"/>
                <w:lang w:val="en-US" w:eastAsia="ja-JP"/>
              </w:rPr>
            </w:pPr>
            <w:r w:rsidRPr="007A7E0A">
              <w:rPr>
                <w:rFonts w:ascii="Times New Roman" w:eastAsia="ＭＳ 明朝" w:hAnsi="Times New Roman"/>
                <w:sz w:val="20"/>
                <w:szCs w:val="20"/>
                <w:highlight w:val="yellow"/>
                <w:lang w:val="en-US" w:eastAsia="ja-JP"/>
              </w:rPr>
              <w:t>±795ns to ±845ns</w:t>
            </w:r>
          </w:p>
        </w:tc>
      </w:tr>
    </w:tbl>
    <w:p w14:paraId="5313B343" w14:textId="77777777" w:rsidR="007A7E0A" w:rsidRPr="007A7E0A" w:rsidRDefault="007A7E0A" w:rsidP="007A7E0A">
      <w:pPr>
        <w:pStyle w:val="a9"/>
        <w:rPr>
          <w:rFonts w:ascii="Times New Roman" w:hAnsi="Times New Roman"/>
          <w:lang w:val="en-US" w:eastAsia="ja-JP"/>
        </w:rPr>
      </w:pPr>
    </w:p>
    <w:p w14:paraId="6BF46935" w14:textId="185A9FB7" w:rsidR="007A7E0A" w:rsidRPr="007A7E0A" w:rsidRDefault="007A7E0A" w:rsidP="007A7E0A">
      <w:pPr>
        <w:pStyle w:val="a9"/>
        <w:rPr>
          <w:rFonts w:ascii="Times New Roman" w:hAnsi="Times New Roman"/>
          <w:lang w:val="en-US" w:eastAsia="ja-JP"/>
        </w:rPr>
      </w:pPr>
      <w:r w:rsidRPr="007A7E0A">
        <w:rPr>
          <w:rFonts w:ascii="Times New Roman" w:hAnsi="Times New Roman"/>
          <w:lang w:val="en-US" w:eastAsia="ja-JP"/>
        </w:rPr>
        <w:t>These values are determined with assumptions such that network-side synchronization for Control-to-control is based on gPTP and Smart Grid is based on GNSS. The Uu interface time synchronization budget can be interpreted as the maximum 5GS time synchronization error between the UE and the gNB-DU.</w:t>
      </w:r>
      <w:r w:rsidRPr="007A7E0A">
        <w:rPr>
          <w:rFonts w:ascii="Times New Roman" w:hAnsi="Times New Roman"/>
          <w:lang w:val="en-US" w:eastAsia="ja-JP"/>
        </w:rPr>
        <w:t xml:space="preserve"> </w:t>
      </w:r>
      <w:r w:rsidRPr="007A7E0A">
        <w:rPr>
          <w:rFonts w:ascii="Times New Roman" w:hAnsi="Times New Roman"/>
          <w:highlight w:val="yellow"/>
          <w:lang w:val="en-US" w:eastAsia="ja-JP"/>
        </w:rPr>
        <w:t>RAN2 agrees that the decision on PDC option is up to RAN1,</w:t>
      </w:r>
      <w:r w:rsidRPr="007A7E0A">
        <w:rPr>
          <w:rFonts w:ascii="Times New Roman" w:hAnsi="Times New Roman"/>
          <w:lang w:val="en-US" w:eastAsia="ja-JP"/>
        </w:rPr>
        <w:t xml:space="preserve"> and RAN1 should aim to meet the most stringent requirement among these scenarios, but a number within the range is also acceptable</w:t>
      </w:r>
      <w:r w:rsidRPr="007A7E0A">
        <w:rPr>
          <w:rFonts w:ascii="Times New Roman" w:hAnsi="Times New Roman"/>
          <w:lang w:val="en-US" w:eastAsia="ja-JP"/>
        </w:rPr>
        <w:t>.</w:t>
      </w:r>
    </w:p>
    <w:p w14:paraId="44241940" w14:textId="309F57B4" w:rsidR="009242B3" w:rsidRPr="007A7E0A" w:rsidRDefault="007A7E0A" w:rsidP="007A7E0A">
      <w:pPr>
        <w:pStyle w:val="a9"/>
        <w:rPr>
          <w:rFonts w:ascii="Times New Roman" w:hAnsi="Times New Roman"/>
          <w:lang w:val="en-US" w:eastAsia="ja-JP"/>
        </w:rPr>
      </w:pPr>
      <w:r w:rsidRPr="007A7E0A">
        <w:rPr>
          <w:rFonts w:ascii="Times New Roman" w:hAnsi="Times New Roman"/>
          <w:lang w:val="en-US" w:eastAsia="ja-JP"/>
        </w:rPr>
        <w:t xml:space="preserve"> </w:t>
      </w:r>
      <w:r w:rsidR="009242B3" w:rsidRPr="007A7E0A">
        <w:rPr>
          <w:rFonts w:ascii="Times New Roman" w:hAnsi="Times New Roman" w:hint="eastAsia"/>
          <w:lang w:val="en-US" w:eastAsia="ja-JP"/>
        </w:rPr>
        <w:t>-----------------------</w:t>
      </w:r>
      <w:r w:rsidR="00655C37" w:rsidRPr="007A7E0A">
        <w:rPr>
          <w:rFonts w:ascii="Times New Roman" w:hAnsi="Times New Roman" w:hint="eastAsia"/>
          <w:lang w:val="en-US" w:eastAsia="ja-JP"/>
        </w:rPr>
        <w:t>------------------------------</w:t>
      </w:r>
      <w:r w:rsidR="00655C37" w:rsidRPr="007A7E0A">
        <w:rPr>
          <w:rFonts w:ascii="Times New Roman" w:hAnsi="Times New Roman"/>
          <w:lang w:val="en-US" w:eastAsia="ja-JP"/>
        </w:rPr>
        <w:t>End Of Excerpt</w:t>
      </w:r>
      <w:r w:rsidR="009242B3" w:rsidRPr="007A7E0A">
        <w:rPr>
          <w:rFonts w:ascii="Times New Roman" w:hAnsi="Times New Roman" w:hint="eastAsia"/>
          <w:lang w:val="en-US" w:eastAsia="ja-JP"/>
        </w:rPr>
        <w:t>------------------------------------------------</w:t>
      </w:r>
      <w:r w:rsidR="00655C37" w:rsidRPr="007A7E0A">
        <w:rPr>
          <w:rFonts w:ascii="Times New Roman" w:hAnsi="Times New Roman" w:hint="eastAsia"/>
          <w:lang w:val="en-US" w:eastAsia="ja-JP"/>
        </w:rPr>
        <w:t>-----------------------</w:t>
      </w:r>
    </w:p>
    <w:p w14:paraId="194DB385" w14:textId="562F915F" w:rsidR="006B7255" w:rsidRDefault="004154AF" w:rsidP="00800BD7">
      <w:pPr>
        <w:pStyle w:val="1"/>
        <w:rPr>
          <w:rFonts w:cs="Arial"/>
          <w:lang w:val="en-US"/>
        </w:rPr>
      </w:pPr>
      <w:bookmarkStart w:id="0" w:name="_Ref178064866"/>
      <w:r w:rsidRPr="003100C3">
        <w:rPr>
          <w:rFonts w:cs="Arial"/>
          <w:lang w:val="en-US"/>
        </w:rPr>
        <w:t>2</w:t>
      </w:r>
      <w:r w:rsidRPr="003100C3">
        <w:rPr>
          <w:rFonts w:cs="Arial"/>
          <w:lang w:val="en-US"/>
        </w:rPr>
        <w:tab/>
      </w:r>
      <w:r w:rsidR="004000E8" w:rsidRPr="003100C3">
        <w:rPr>
          <w:rFonts w:cs="Arial"/>
          <w:lang w:val="en-US"/>
        </w:rPr>
        <w:t>Discussion</w:t>
      </w:r>
      <w:bookmarkEnd w:id="0"/>
    </w:p>
    <w:p w14:paraId="79E8DBD9" w14:textId="758982BA" w:rsidR="007A7E0A" w:rsidRDefault="007A7E0A" w:rsidP="007A7E0A">
      <w:pPr>
        <w:pStyle w:val="1"/>
        <w:rPr>
          <w:lang w:val="en-US"/>
        </w:rPr>
      </w:pPr>
      <w:r>
        <w:rPr>
          <w:rFonts w:hint="eastAsia"/>
          <w:lang w:val="en-US"/>
        </w:rPr>
        <w:t>2.1</w:t>
      </w:r>
      <w:r>
        <w:rPr>
          <w:lang w:val="en-US"/>
        </w:rPr>
        <w:t xml:space="preserve"> PD compensation with RTT method</w:t>
      </w:r>
    </w:p>
    <w:p w14:paraId="0A7B8433" w14:textId="4BBBA20B" w:rsidR="007A7E0A" w:rsidRDefault="007A7E0A" w:rsidP="007A7E0A">
      <w:pPr>
        <w:rPr>
          <w:lang w:val="en-US"/>
        </w:rPr>
      </w:pPr>
      <w:r>
        <w:rPr>
          <w:lang w:val="en-US"/>
        </w:rPr>
        <w:t xml:space="preserve">In [2], a substantial discussion were done in RAN1 regarding which </w:t>
      </w:r>
      <w:r w:rsidR="00F610A9">
        <w:rPr>
          <w:lang w:val="en-US"/>
        </w:rPr>
        <w:t>PD</w:t>
      </w:r>
      <w:r>
        <w:rPr>
          <w:lang w:val="en-US"/>
        </w:rPr>
        <w:t xml:space="preserve"> compensation method should be applied for each scenario. For control to-control communication use case, where TSC devices behind a target UE are synchronized to any TD, </w:t>
      </w:r>
      <w:r w:rsidRPr="008562A2">
        <w:t>from a GM behind the UE</w:t>
      </w:r>
      <w:r>
        <w:t xml:space="preserve"> (senario2)</w:t>
      </w:r>
      <w:r>
        <w:rPr>
          <w:lang w:val="en-US"/>
        </w:rPr>
        <w:t xml:space="preserve">, TA method (including enhanced TA) is hardly to satisfy the synchronization budget requirement, while RTT method is a promising candidate solution </w:t>
      </w:r>
      <w:r>
        <w:rPr>
          <w:lang w:val="en-US"/>
        </w:rPr>
        <w:t xml:space="preserve">according to </w:t>
      </w:r>
      <w:r>
        <w:rPr>
          <w:lang w:val="en-US"/>
        </w:rPr>
        <w:t>[2] (</w:t>
      </w:r>
      <w:r>
        <w:rPr>
          <w:lang w:val="en-US"/>
        </w:rPr>
        <w:t>subclause 3.2</w:t>
      </w:r>
      <w:r>
        <w:rPr>
          <w:lang w:val="en-US"/>
        </w:rPr>
        <w:t xml:space="preserve">), or </w:t>
      </w:r>
      <w:r>
        <w:rPr>
          <w:lang w:val="en-US"/>
        </w:rPr>
        <w:t>[</w:t>
      </w:r>
      <w:r>
        <w:rPr>
          <w:lang w:val="en-US"/>
        </w:rPr>
        <w:t>3</w:t>
      </w:r>
      <w:r>
        <w:rPr>
          <w:lang w:val="en-US"/>
        </w:rPr>
        <w:t>][</w:t>
      </w:r>
      <w:r>
        <w:rPr>
          <w:lang w:val="en-US"/>
        </w:rPr>
        <w:t>4</w:t>
      </w:r>
      <w:r>
        <w:rPr>
          <w:lang w:val="en-US"/>
        </w:rPr>
        <w:t>]</w:t>
      </w:r>
      <w:r>
        <w:rPr>
          <w:lang w:val="en-US"/>
        </w:rPr>
        <w:t xml:space="preserve"> . Since it is up to RAN1 to decide which method should be adopted, we leave the detail analysis for RAN1. While RAN2 could start looking into RTT measurement from higher layer perspective. </w:t>
      </w:r>
    </w:p>
    <w:p w14:paraId="3E2F09B4" w14:textId="28E7E0A4" w:rsidR="007A7E0A" w:rsidRDefault="007A7E0A" w:rsidP="007A7E0A">
      <w:pPr>
        <w:ind w:firstLineChars="1200" w:firstLine="2400"/>
        <w:rPr>
          <w:lang w:val="en-US"/>
        </w:rPr>
      </w:pPr>
      <w:r>
        <w:rPr>
          <w:noProof/>
          <w:lang w:val="en-US"/>
        </w:rPr>
        <w:lastRenderedPageBreak/>
        <w:drawing>
          <wp:inline distT="0" distB="0" distL="0" distR="0" wp14:anchorId="3A496126" wp14:editId="2DF9741C">
            <wp:extent cx="3296285" cy="2350694"/>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4677" cy="2363810"/>
                    </a:xfrm>
                    <a:prstGeom prst="rect">
                      <a:avLst/>
                    </a:prstGeom>
                    <a:noFill/>
                    <a:ln>
                      <a:noFill/>
                    </a:ln>
                  </pic:spPr>
                </pic:pic>
              </a:graphicData>
            </a:graphic>
          </wp:inline>
        </w:drawing>
      </w:r>
    </w:p>
    <w:p w14:paraId="62A1C8C5" w14:textId="2C2CDB12" w:rsidR="007A7E0A" w:rsidRDefault="007A7E0A" w:rsidP="007A7E0A">
      <w:pPr>
        <w:ind w:left="1701" w:firstLineChars="200" w:firstLine="400"/>
        <w:rPr>
          <w:rFonts w:hint="eastAsia"/>
          <w:lang w:val="en-US"/>
        </w:rPr>
      </w:pPr>
      <w:r>
        <w:rPr>
          <w:rFonts w:hint="eastAsia"/>
          <w:lang w:val="en-US"/>
        </w:rPr>
        <w:t xml:space="preserve">Figure1: </w:t>
      </w:r>
      <w:r>
        <w:rPr>
          <w:lang w:val="en-US"/>
        </w:rPr>
        <w:t xml:space="preserve">PD estimation using </w:t>
      </w:r>
      <w:r>
        <w:rPr>
          <w:rFonts w:hint="eastAsia"/>
          <w:lang w:val="en-US"/>
        </w:rPr>
        <w:t>RTT measurement</w:t>
      </w:r>
      <w:r>
        <w:rPr>
          <w:lang w:val="en-US"/>
        </w:rPr>
        <w:t xml:space="preserve"> concept</w:t>
      </w:r>
      <w:r>
        <w:rPr>
          <w:rFonts w:hint="eastAsia"/>
          <w:lang w:val="en-US"/>
        </w:rPr>
        <w:t xml:space="preserve"> </w:t>
      </w:r>
    </w:p>
    <w:p w14:paraId="6CBCC97D" w14:textId="2989D284" w:rsidR="007A7E0A" w:rsidRDefault="007A7E0A" w:rsidP="007A7E0A">
      <w:pPr>
        <w:rPr>
          <w:lang w:val="en-US"/>
        </w:rPr>
      </w:pPr>
      <w:r>
        <w:rPr>
          <w:lang w:val="en-US"/>
        </w:rPr>
        <w:t>In general, t</w:t>
      </w:r>
      <w:r>
        <w:rPr>
          <w:rFonts w:hint="eastAsia"/>
          <w:lang w:val="en-US"/>
        </w:rPr>
        <w:t xml:space="preserve">he </w:t>
      </w:r>
      <w:r>
        <w:rPr>
          <w:lang w:val="en-US"/>
        </w:rPr>
        <w:t xml:space="preserve">RTT and propagation delay between UE and gNB can be calculated as following </w:t>
      </w:r>
    </w:p>
    <w:p w14:paraId="74AEC582" w14:textId="73B9427D" w:rsidR="007A7E0A" w:rsidRPr="007A7E0A" w:rsidRDefault="007A7E0A" w:rsidP="007A7E0A">
      <w:pPr>
        <w:pStyle w:val="aff"/>
        <w:numPr>
          <w:ilvl w:val="0"/>
          <w:numId w:val="43"/>
        </w:numPr>
        <w:rPr>
          <w:lang w:val="en-US"/>
        </w:rPr>
      </w:pPr>
      <w:r w:rsidRPr="007A7E0A">
        <w:rPr>
          <w:lang w:val="en-US"/>
        </w:rPr>
        <w:t>RTT=t2-t1+t4-t3=t4-t1+t2-t3=(UE Rx-Tx time difference)+(gNB Rx-Tx time difference)</w:t>
      </w:r>
    </w:p>
    <w:p w14:paraId="0BFF2E24" w14:textId="2F20311C" w:rsidR="007A7E0A" w:rsidRDefault="007A7E0A" w:rsidP="007A7E0A">
      <w:pPr>
        <w:pStyle w:val="aff"/>
        <w:numPr>
          <w:ilvl w:val="0"/>
          <w:numId w:val="43"/>
        </w:numPr>
        <w:rPr>
          <w:lang w:val="en-US"/>
        </w:rPr>
      </w:pPr>
      <w:r w:rsidRPr="007A7E0A">
        <w:rPr>
          <w:lang w:val="en-US"/>
        </w:rPr>
        <w:t>Propagation delay= (</w:t>
      </w:r>
      <w:r w:rsidRPr="007A7E0A">
        <w:rPr>
          <w:lang w:val="en-US"/>
        </w:rPr>
        <w:t>(UE Rx-Tx time difference)+(gNB Rx-Tx time difference)</w:t>
      </w:r>
      <w:r w:rsidRPr="007A7E0A">
        <w:rPr>
          <w:lang w:val="en-US"/>
        </w:rPr>
        <w:t>)/2</w:t>
      </w:r>
    </w:p>
    <w:p w14:paraId="0108BAF8" w14:textId="77777777" w:rsidR="007A7E0A" w:rsidRPr="007A7E0A" w:rsidRDefault="007A7E0A" w:rsidP="007A7E0A">
      <w:pPr>
        <w:pStyle w:val="aff"/>
        <w:ind w:left="420"/>
        <w:rPr>
          <w:rFonts w:hint="eastAsia"/>
          <w:lang w:val="en-US"/>
        </w:rPr>
      </w:pPr>
    </w:p>
    <w:p w14:paraId="2E31DE25" w14:textId="77777777" w:rsidR="007A7E0A" w:rsidRDefault="007A7E0A" w:rsidP="007A7E0A">
      <w:pPr>
        <w:rPr>
          <w:lang w:val="en-US"/>
        </w:rPr>
      </w:pPr>
      <w:r>
        <w:rPr>
          <w:lang w:val="en-US"/>
        </w:rPr>
        <w:t>T</w:t>
      </w:r>
      <w:r>
        <w:rPr>
          <w:rFonts w:hint="eastAsia"/>
          <w:lang w:val="en-US"/>
        </w:rPr>
        <w:t xml:space="preserve">he UE Rx-Tx time difference measurement and gNB Rx-Tx time difference </w:t>
      </w:r>
      <w:r>
        <w:rPr>
          <w:lang w:val="en-US"/>
        </w:rPr>
        <w:t xml:space="preserve">above </w:t>
      </w:r>
      <w:r>
        <w:rPr>
          <w:rFonts w:hint="eastAsia"/>
          <w:lang w:val="en-US"/>
        </w:rPr>
        <w:t xml:space="preserve">are </w:t>
      </w:r>
      <w:r>
        <w:rPr>
          <w:lang w:val="en-US"/>
        </w:rPr>
        <w:t xml:space="preserve">already </w:t>
      </w:r>
      <w:r>
        <w:rPr>
          <w:rFonts w:hint="eastAsia"/>
          <w:lang w:val="en-US"/>
        </w:rPr>
        <w:t xml:space="preserve">specified by RAN1 in [5]. </w:t>
      </w:r>
      <w:r>
        <w:rPr>
          <w:lang w:val="en-US"/>
        </w:rPr>
        <w:t xml:space="preserve">Also, UE Rx-Tx time difference measurement is specified both LPP and LTE RRC protocol. </w:t>
      </w:r>
    </w:p>
    <w:p w14:paraId="44E471F8" w14:textId="30166DD8" w:rsidR="007A7E0A" w:rsidRDefault="007A7E0A" w:rsidP="007A7E0A">
      <w:pPr>
        <w:rPr>
          <w:lang w:val="en-US"/>
        </w:rPr>
      </w:pPr>
      <w:r>
        <w:rPr>
          <w:lang w:val="en-US"/>
        </w:rPr>
        <w:t xml:space="preserve">Regarding whether positioning sever (LMF) should be involved in RTT measurement, we think since LMF involvement would bring a lot of measurement delay </w:t>
      </w:r>
      <w:r w:rsidR="00F610A9">
        <w:rPr>
          <w:lang w:val="en-US"/>
        </w:rPr>
        <w:t xml:space="preserve">in core network interface </w:t>
      </w:r>
      <w:r>
        <w:rPr>
          <w:lang w:val="en-US"/>
        </w:rPr>
        <w:t xml:space="preserve">as it is being studied in positioning WI, for TSN PD compensation use case, using LMF triggered measurement should be avoided. </w:t>
      </w:r>
    </w:p>
    <w:p w14:paraId="60A5FF63" w14:textId="389ACF1A" w:rsidR="007A7E0A" w:rsidRDefault="007A7E0A" w:rsidP="007A7E0A">
      <w:pPr>
        <w:rPr>
          <w:lang w:val="en-US"/>
        </w:rPr>
      </w:pPr>
      <w:r>
        <w:rPr>
          <w:lang w:val="en-US"/>
        </w:rPr>
        <w:t>In addition, currently only periodical UE Rx-Tx time difference measurement</w:t>
      </w:r>
      <w:r w:rsidR="00F610A9">
        <w:rPr>
          <w:lang w:val="en-US"/>
        </w:rPr>
        <w:t>/reporting</w:t>
      </w:r>
      <w:r>
        <w:rPr>
          <w:lang w:val="en-US"/>
        </w:rPr>
        <w:t xml:space="preserve"> was specified in LTE RRC spec. Considering PD compensation is only needed when UE is far away from the gNB, periodically </w:t>
      </w:r>
      <w:r>
        <w:rPr>
          <w:rFonts w:hint="eastAsia"/>
          <w:lang w:val="en-US"/>
        </w:rPr>
        <w:t>UE Rx-Tx time difference measurement</w:t>
      </w:r>
      <w:r>
        <w:rPr>
          <w:lang w:val="en-US"/>
        </w:rPr>
        <w:t xml:space="preserve"> reporting is also not efficient from power saving perspective, therefore event type </w:t>
      </w:r>
      <w:r>
        <w:rPr>
          <w:rFonts w:hint="eastAsia"/>
          <w:lang w:val="en-US"/>
        </w:rPr>
        <w:t>UE Rx-Tx time difference measurement</w:t>
      </w:r>
      <w:r>
        <w:rPr>
          <w:lang w:val="en-US"/>
        </w:rPr>
        <w:t xml:space="preserve"> reporting</w:t>
      </w:r>
      <w:r>
        <w:rPr>
          <w:lang w:val="en-US"/>
        </w:rPr>
        <w:t xml:space="preserve"> could be introduced for TSN PD compensation use case.</w:t>
      </w:r>
    </w:p>
    <w:p w14:paraId="6AD6AE65" w14:textId="3E9E9FB1" w:rsidR="007A7E0A" w:rsidRPr="007A7E0A" w:rsidRDefault="007A7E0A" w:rsidP="007A7E0A">
      <w:pPr>
        <w:rPr>
          <w:rFonts w:hint="eastAsia"/>
          <w:b/>
          <w:lang w:val="en-US"/>
        </w:rPr>
      </w:pPr>
      <w:r w:rsidRPr="007A7E0A">
        <w:rPr>
          <w:rFonts w:hint="eastAsia"/>
          <w:b/>
          <w:lang w:val="en-US"/>
        </w:rPr>
        <w:t>Observation1:</w:t>
      </w:r>
      <w:r>
        <w:rPr>
          <w:b/>
          <w:lang w:val="en-US"/>
        </w:rPr>
        <w:t xml:space="preserve"> </w:t>
      </w:r>
      <w:r w:rsidRPr="007A7E0A">
        <w:rPr>
          <w:b/>
          <w:lang w:val="en-US"/>
        </w:rPr>
        <w:t>TA based PD compensation is hardly to satisfy control-to-control (scenario2)</w:t>
      </w:r>
      <w:r w:rsidRPr="007A7E0A">
        <w:rPr>
          <w:rFonts w:hint="eastAsia"/>
          <w:b/>
          <w:lang w:val="en-US"/>
        </w:rPr>
        <w:t xml:space="preserve"> </w:t>
      </w:r>
      <w:r w:rsidRPr="007A7E0A">
        <w:rPr>
          <w:b/>
          <w:lang w:val="en-US"/>
        </w:rPr>
        <w:t xml:space="preserve">synchronicity budget, RTT method </w:t>
      </w:r>
      <w:r>
        <w:rPr>
          <w:b/>
          <w:lang w:val="en-US"/>
        </w:rPr>
        <w:t>could be taken into account as a</w:t>
      </w:r>
      <w:r w:rsidRPr="007A7E0A">
        <w:rPr>
          <w:b/>
          <w:lang w:val="en-US"/>
        </w:rPr>
        <w:t xml:space="preserve"> candidate </w:t>
      </w:r>
      <w:r>
        <w:rPr>
          <w:b/>
          <w:lang w:val="en-US"/>
        </w:rPr>
        <w:t xml:space="preserve">solution </w:t>
      </w:r>
      <w:r w:rsidRPr="007A7E0A">
        <w:rPr>
          <w:b/>
          <w:lang w:val="en-US"/>
        </w:rPr>
        <w:t>instead.</w:t>
      </w:r>
    </w:p>
    <w:p w14:paraId="528984EC" w14:textId="71C6F0D5" w:rsidR="007A7E0A" w:rsidRDefault="007A7E0A" w:rsidP="007A7E0A">
      <w:pPr>
        <w:rPr>
          <w:b/>
          <w:lang w:val="en-US"/>
        </w:rPr>
      </w:pPr>
      <w:r w:rsidRPr="007A7E0A">
        <w:rPr>
          <w:b/>
          <w:lang w:val="en-US"/>
        </w:rPr>
        <w:t>O</w:t>
      </w:r>
      <w:r w:rsidRPr="007A7E0A">
        <w:rPr>
          <w:rFonts w:hint="eastAsia"/>
          <w:b/>
          <w:lang w:val="en-US"/>
        </w:rPr>
        <w:t xml:space="preserve">bservation2: </w:t>
      </w:r>
      <w:r w:rsidRPr="007A7E0A">
        <w:rPr>
          <w:b/>
          <w:lang w:val="en-US"/>
        </w:rPr>
        <w:t xml:space="preserve">In LTE, the UE Rx-Tx time difference measurement is specified in both LPP and RRC spec. </w:t>
      </w:r>
    </w:p>
    <w:p w14:paraId="781201F4" w14:textId="1663DD92" w:rsidR="007A7E0A" w:rsidRPr="007A7E0A" w:rsidRDefault="007A7E0A" w:rsidP="007A7E0A">
      <w:pPr>
        <w:rPr>
          <w:rFonts w:hint="eastAsia"/>
          <w:b/>
          <w:lang w:val="en-US"/>
        </w:rPr>
      </w:pPr>
      <w:r>
        <w:rPr>
          <w:b/>
          <w:lang w:val="en-US"/>
        </w:rPr>
        <w:t>Observation3</w:t>
      </w:r>
      <w:r w:rsidRPr="007A7E0A">
        <w:rPr>
          <w:b/>
          <w:lang w:val="en-US"/>
        </w:rPr>
        <w:t>: LMF is not necessary to be involved in RTT calculation</w:t>
      </w:r>
      <w:r>
        <w:rPr>
          <w:b/>
          <w:lang w:val="en-US"/>
        </w:rPr>
        <w:t xml:space="preserve"> f</w:t>
      </w:r>
      <w:r w:rsidRPr="007A7E0A">
        <w:rPr>
          <w:b/>
          <w:lang w:val="en-US"/>
        </w:rPr>
        <w:t xml:space="preserve">or TSN </w:t>
      </w:r>
      <w:r>
        <w:rPr>
          <w:b/>
          <w:lang w:val="en-US"/>
        </w:rPr>
        <w:t xml:space="preserve">PD compensation </w:t>
      </w:r>
      <w:r w:rsidRPr="007A7E0A">
        <w:rPr>
          <w:b/>
          <w:lang w:val="en-US"/>
        </w:rPr>
        <w:t xml:space="preserve">use case. </w:t>
      </w:r>
    </w:p>
    <w:p w14:paraId="4FEDDB74" w14:textId="67E71275" w:rsidR="007A7E0A" w:rsidRPr="007A7E0A" w:rsidRDefault="007A7E0A" w:rsidP="007A7E0A">
      <w:pPr>
        <w:rPr>
          <w:b/>
          <w:lang w:val="en-US"/>
        </w:rPr>
      </w:pPr>
      <w:r w:rsidRPr="007A7E0A">
        <w:rPr>
          <w:b/>
          <w:lang w:val="en-US"/>
        </w:rPr>
        <w:t>Observation</w:t>
      </w:r>
      <w:r>
        <w:rPr>
          <w:b/>
          <w:lang w:val="en-US"/>
        </w:rPr>
        <w:t>4</w:t>
      </w:r>
      <w:r w:rsidRPr="007A7E0A">
        <w:rPr>
          <w:b/>
          <w:lang w:val="en-US"/>
        </w:rPr>
        <w:t xml:space="preserve">: </w:t>
      </w:r>
      <w:r>
        <w:rPr>
          <w:b/>
          <w:lang w:val="en-US"/>
        </w:rPr>
        <w:t xml:space="preserve">In LTE spec, </w:t>
      </w:r>
      <w:r w:rsidRPr="007A7E0A">
        <w:rPr>
          <w:b/>
          <w:lang w:val="en-US"/>
        </w:rPr>
        <w:t>only periodical UE Rx</w:t>
      </w:r>
      <w:r>
        <w:rPr>
          <w:b/>
          <w:lang w:val="en-US"/>
        </w:rPr>
        <w:t>-Tx time difference measurement reporting was specified</w:t>
      </w:r>
      <w:r w:rsidRPr="007A7E0A">
        <w:rPr>
          <w:b/>
          <w:lang w:val="en-US"/>
        </w:rPr>
        <w:t>,</w:t>
      </w:r>
      <w:r>
        <w:rPr>
          <w:b/>
          <w:lang w:val="en-US"/>
        </w:rPr>
        <w:t xml:space="preserve"> while e</w:t>
      </w:r>
      <w:r w:rsidRPr="007A7E0A">
        <w:rPr>
          <w:b/>
          <w:lang w:val="en-US"/>
        </w:rPr>
        <w:t xml:space="preserve">vent type UE Rx-Tx time difference reporting is </w:t>
      </w:r>
      <w:r>
        <w:rPr>
          <w:b/>
          <w:lang w:val="en-US"/>
        </w:rPr>
        <w:t xml:space="preserve">also </w:t>
      </w:r>
      <w:r w:rsidRPr="007A7E0A">
        <w:rPr>
          <w:b/>
          <w:lang w:val="en-US"/>
        </w:rPr>
        <w:t xml:space="preserve">beneficial for TSN </w:t>
      </w:r>
      <w:r>
        <w:rPr>
          <w:b/>
          <w:lang w:val="en-US"/>
        </w:rPr>
        <w:t xml:space="preserve">PD compensation </w:t>
      </w:r>
      <w:r w:rsidRPr="007A7E0A">
        <w:rPr>
          <w:b/>
          <w:lang w:val="en-US"/>
        </w:rPr>
        <w:t>use case.</w:t>
      </w:r>
    </w:p>
    <w:p w14:paraId="3B81196A" w14:textId="37472DDA" w:rsidR="007A7E0A" w:rsidRPr="007A7E0A" w:rsidRDefault="007A7E0A" w:rsidP="007A7E0A">
      <w:pPr>
        <w:rPr>
          <w:b/>
          <w:lang w:val="en-US"/>
        </w:rPr>
      </w:pPr>
      <w:r w:rsidRPr="007A7E0A">
        <w:rPr>
          <w:rFonts w:hint="eastAsia"/>
          <w:b/>
          <w:lang w:val="en-US"/>
        </w:rPr>
        <w:t xml:space="preserve">Proposal1: </w:t>
      </w:r>
      <w:r>
        <w:rPr>
          <w:b/>
          <w:lang w:val="en-US"/>
        </w:rPr>
        <w:t xml:space="preserve">RAN2 to </w:t>
      </w:r>
      <w:r>
        <w:rPr>
          <w:rFonts w:hint="eastAsia"/>
          <w:b/>
          <w:lang w:val="en-US"/>
        </w:rPr>
        <w:t>i</w:t>
      </w:r>
      <w:r w:rsidRPr="007A7E0A">
        <w:rPr>
          <w:rFonts w:hint="eastAsia"/>
          <w:b/>
          <w:lang w:val="en-US"/>
        </w:rPr>
        <w:t xml:space="preserve">ntroduce both periodical and event type UE Rx-Tx </w:t>
      </w:r>
      <w:r>
        <w:rPr>
          <w:rFonts w:hint="eastAsia"/>
          <w:b/>
          <w:lang w:val="en-US"/>
        </w:rPr>
        <w:t>time difference measurement</w:t>
      </w:r>
      <w:r>
        <w:rPr>
          <w:b/>
          <w:lang w:val="en-US"/>
        </w:rPr>
        <w:t xml:space="preserve"> </w:t>
      </w:r>
      <w:r>
        <w:rPr>
          <w:rFonts w:hint="eastAsia"/>
          <w:b/>
          <w:lang w:val="en-US"/>
        </w:rPr>
        <w:t>in NR</w:t>
      </w:r>
      <w:r w:rsidRPr="007A7E0A">
        <w:rPr>
          <w:rFonts w:hint="eastAsia"/>
          <w:b/>
          <w:lang w:val="en-US"/>
        </w:rPr>
        <w:t xml:space="preserve"> RRC spec</w:t>
      </w:r>
      <w:r>
        <w:rPr>
          <w:b/>
          <w:lang w:val="en-US"/>
        </w:rPr>
        <w:t xml:space="preserve"> </w:t>
      </w:r>
      <w:r>
        <w:rPr>
          <w:b/>
          <w:lang w:val="en-US"/>
        </w:rPr>
        <w:t>f</w:t>
      </w:r>
      <w:r w:rsidRPr="007A7E0A">
        <w:rPr>
          <w:b/>
          <w:lang w:val="en-US"/>
        </w:rPr>
        <w:t xml:space="preserve">or TSN </w:t>
      </w:r>
      <w:r>
        <w:rPr>
          <w:b/>
          <w:lang w:val="en-US"/>
        </w:rPr>
        <w:t xml:space="preserve">PD compensation </w:t>
      </w:r>
      <w:r w:rsidRPr="007A7E0A">
        <w:rPr>
          <w:b/>
          <w:lang w:val="en-US"/>
        </w:rPr>
        <w:t>use case</w:t>
      </w:r>
      <w:r w:rsidRPr="007A7E0A">
        <w:rPr>
          <w:rFonts w:hint="eastAsia"/>
          <w:b/>
          <w:lang w:val="en-US"/>
        </w:rPr>
        <w:t>.</w:t>
      </w:r>
    </w:p>
    <w:p w14:paraId="16B2CA18" w14:textId="77777777" w:rsidR="007A7E0A" w:rsidRPr="007A7E0A" w:rsidRDefault="007A7E0A" w:rsidP="007A7E0A">
      <w:pPr>
        <w:rPr>
          <w:rFonts w:hint="eastAsia"/>
          <w:lang w:val="en-US"/>
        </w:rPr>
      </w:pPr>
    </w:p>
    <w:p w14:paraId="54184051" w14:textId="4860672B" w:rsidR="00AF3157" w:rsidRDefault="00AF3157" w:rsidP="007A7E0A">
      <w:pPr>
        <w:pStyle w:val="21"/>
        <w:ind w:left="0" w:firstLine="0"/>
      </w:pPr>
      <w:r>
        <w:rPr>
          <w:rFonts w:hint="eastAsia"/>
        </w:rPr>
        <w:t xml:space="preserve">2.2 </w:t>
      </w:r>
      <w:r w:rsidR="007A7E0A">
        <w:t>PD</w:t>
      </w:r>
      <w:r>
        <w:t xml:space="preserve"> compensation </w:t>
      </w:r>
      <w:r w:rsidR="007A7E0A">
        <w:t>signalling</w:t>
      </w:r>
    </w:p>
    <w:p w14:paraId="0CBBEC28" w14:textId="1541F1A0" w:rsidR="007A7E0A" w:rsidRDefault="007A7E0A" w:rsidP="00AF3157">
      <w:r>
        <w:t xml:space="preserve">No matter whether TA or RTT based PD compensation is adopted, one open issue is whether network or UE to conduct the PD compensation. Another one is </w:t>
      </w:r>
      <w:r w:rsidR="00AF3157">
        <w:t>when UE should c</w:t>
      </w:r>
      <w:r>
        <w:t xml:space="preserve">ompensate the propagation delay. For the first issue, we consider UE based PD compensation could be a taken as a baseline, since PD is different in terms of different UE’s location, it is inefficient for gNB to do compensation processing for each UE in case there is a large number of UEs in the cell. While </w:t>
      </w:r>
      <w:r w:rsidR="00F610A9">
        <w:t>the</w:t>
      </w:r>
      <w:r>
        <w:t xml:space="preserve"> merit for network based pre-compensation is higher compensation accuracy can be expected compared to UE(especially for some RedCap UEs). </w:t>
      </w:r>
    </w:p>
    <w:p w14:paraId="5B94589E" w14:textId="4E6310D7" w:rsidR="007A7E0A" w:rsidRDefault="00F610A9" w:rsidP="00AF3157">
      <w:pPr>
        <w:rPr>
          <w:rFonts w:hint="eastAsia"/>
        </w:rPr>
      </w:pPr>
      <w:r>
        <w:t xml:space="preserve">For second issue, </w:t>
      </w:r>
      <w:r w:rsidR="00CA009B">
        <w:t xml:space="preserve">the following two approaches can be considered. </w:t>
      </w:r>
      <w:r>
        <w:t>T</w:t>
      </w:r>
      <w:r w:rsidR="00C701C1">
        <w:t xml:space="preserve">he Pros for </w:t>
      </w:r>
      <w:r w:rsidR="00CA009B">
        <w:t xml:space="preserve">Option1 is it can save additional signalling of delay compensation indication </w:t>
      </w:r>
      <w:r w:rsidR="00C701C1">
        <w:t xml:space="preserve">while the Cons is duplicated delay compensation by both UE and network may happen. The Pros for Option2 is the indication of delay compensation can be flexibly controlled by network and </w:t>
      </w:r>
      <w:r w:rsidR="00C701C1">
        <w:lastRenderedPageBreak/>
        <w:t>duplicated delay compensation can be avoided, while the Cons is additional signalling needs to be specified.</w:t>
      </w:r>
      <w:r w:rsidR="007A7E0A">
        <w:t xml:space="preserve"> Since cons of duplication PD compensation </w:t>
      </w:r>
      <w:r>
        <w:t xml:space="preserve">for option1 </w:t>
      </w:r>
      <w:bookmarkStart w:id="1" w:name="_GoBack"/>
      <w:bookmarkEnd w:id="1"/>
      <w:r w:rsidR="007A7E0A">
        <w:t>could be solved by network implementation (OFF the compensation function), thus option1 is more preferable.</w:t>
      </w:r>
    </w:p>
    <w:p w14:paraId="7E4D9E90" w14:textId="1C3599A8" w:rsidR="00CA009B" w:rsidRPr="00CA009B" w:rsidRDefault="00CA009B" w:rsidP="00AF3157">
      <w:pPr>
        <w:rPr>
          <w:b/>
        </w:rPr>
      </w:pPr>
      <w:r w:rsidRPr="00CA009B">
        <w:rPr>
          <w:b/>
        </w:rPr>
        <w:t xml:space="preserve">Option1: </w:t>
      </w:r>
      <w:r>
        <w:rPr>
          <w:b/>
        </w:rPr>
        <w:t xml:space="preserve">A </w:t>
      </w:r>
      <w:r w:rsidR="007A7E0A">
        <w:rPr>
          <w:b/>
        </w:rPr>
        <w:t>PD</w:t>
      </w:r>
      <w:r w:rsidR="00AF3157" w:rsidRPr="00CA009B">
        <w:rPr>
          <w:b/>
        </w:rPr>
        <w:t xml:space="preserve"> thr</w:t>
      </w:r>
      <w:r w:rsidR="007A7E0A">
        <w:rPr>
          <w:b/>
        </w:rPr>
        <w:t>eshold could be pre-configured, if estimated</w:t>
      </w:r>
      <w:r w:rsidR="00AF3157" w:rsidRPr="00CA009B">
        <w:rPr>
          <w:b/>
        </w:rPr>
        <w:t xml:space="preserve"> </w:t>
      </w:r>
      <w:r w:rsidR="007A7E0A">
        <w:rPr>
          <w:b/>
        </w:rPr>
        <w:t xml:space="preserve">PD </w:t>
      </w:r>
      <w:r w:rsidR="00AF3157" w:rsidRPr="00CA009B">
        <w:rPr>
          <w:b/>
        </w:rPr>
        <w:t xml:space="preserve">is larger than the threshold, UE can conduct delay compensation autonomously. </w:t>
      </w:r>
    </w:p>
    <w:p w14:paraId="7A87B227" w14:textId="4B2FF786" w:rsidR="00AF3157" w:rsidRDefault="00CA009B" w:rsidP="00AF3157">
      <w:r w:rsidRPr="00CA009B">
        <w:rPr>
          <w:b/>
        </w:rPr>
        <w:t>Option2: UE conduct the propagation delay compensation based on explicit indication from gNB.</w:t>
      </w:r>
      <w:r>
        <w:t xml:space="preserve"> </w:t>
      </w:r>
      <w:r w:rsidR="00AF3157">
        <w:t xml:space="preserve"> </w:t>
      </w:r>
    </w:p>
    <w:tbl>
      <w:tblPr>
        <w:tblStyle w:val="aff4"/>
        <w:tblW w:w="0" w:type="auto"/>
        <w:tblLook w:val="04A0" w:firstRow="1" w:lastRow="0" w:firstColumn="1" w:lastColumn="0" w:noHBand="0" w:noVBand="1"/>
      </w:tblPr>
      <w:tblGrid>
        <w:gridCol w:w="1555"/>
        <w:gridCol w:w="3969"/>
        <w:gridCol w:w="4105"/>
      </w:tblGrid>
      <w:tr w:rsidR="00051B37" w:rsidRPr="002B0A5D" w14:paraId="588A1951" w14:textId="77777777" w:rsidTr="00F5684C">
        <w:tc>
          <w:tcPr>
            <w:tcW w:w="1555" w:type="dxa"/>
          </w:tcPr>
          <w:p w14:paraId="293EB67D" w14:textId="77777777" w:rsidR="00051B37" w:rsidRDefault="00051B37" w:rsidP="00F5684C">
            <w:pPr>
              <w:rPr>
                <w:b/>
              </w:rPr>
            </w:pPr>
          </w:p>
        </w:tc>
        <w:tc>
          <w:tcPr>
            <w:tcW w:w="3969" w:type="dxa"/>
          </w:tcPr>
          <w:p w14:paraId="65EB9F3E" w14:textId="77777777" w:rsidR="00051B37" w:rsidRPr="002B0A5D" w:rsidRDefault="00051B37" w:rsidP="00F5684C">
            <w:pPr>
              <w:jc w:val="center"/>
              <w:rPr>
                <w:rFonts w:eastAsia="游明朝"/>
                <w:b/>
              </w:rPr>
            </w:pPr>
            <w:r>
              <w:rPr>
                <w:rFonts w:eastAsia="游明朝" w:hint="eastAsia"/>
                <w:b/>
              </w:rPr>
              <w:t>Pros</w:t>
            </w:r>
          </w:p>
        </w:tc>
        <w:tc>
          <w:tcPr>
            <w:tcW w:w="4105" w:type="dxa"/>
          </w:tcPr>
          <w:p w14:paraId="1B48F274" w14:textId="77777777" w:rsidR="00051B37" w:rsidRPr="002B0A5D" w:rsidRDefault="00051B37" w:rsidP="00F5684C">
            <w:pPr>
              <w:jc w:val="center"/>
              <w:rPr>
                <w:rFonts w:eastAsia="游明朝"/>
                <w:b/>
              </w:rPr>
            </w:pPr>
            <w:r>
              <w:rPr>
                <w:rFonts w:eastAsia="游明朝" w:hint="eastAsia"/>
                <w:b/>
              </w:rPr>
              <w:t>Cons</w:t>
            </w:r>
          </w:p>
        </w:tc>
      </w:tr>
      <w:tr w:rsidR="00051B37" w:rsidRPr="002B0A5D" w14:paraId="63172041" w14:textId="77777777" w:rsidTr="00F5684C">
        <w:tc>
          <w:tcPr>
            <w:tcW w:w="1555" w:type="dxa"/>
          </w:tcPr>
          <w:p w14:paraId="44FA15B6" w14:textId="77777777" w:rsidR="00051B37" w:rsidRPr="002B0A5D" w:rsidRDefault="00051B37" w:rsidP="00F5684C">
            <w:pPr>
              <w:rPr>
                <w:rFonts w:eastAsia="游明朝"/>
                <w:b/>
              </w:rPr>
            </w:pPr>
            <w:r>
              <w:rPr>
                <w:rFonts w:eastAsia="游明朝" w:hint="eastAsia"/>
                <w:b/>
              </w:rPr>
              <w:t>Option1</w:t>
            </w:r>
          </w:p>
        </w:tc>
        <w:tc>
          <w:tcPr>
            <w:tcW w:w="3969" w:type="dxa"/>
          </w:tcPr>
          <w:p w14:paraId="491FC66D" w14:textId="3262F754" w:rsidR="00051B37" w:rsidRPr="002B0A5D" w:rsidRDefault="00051B37" w:rsidP="00F5684C">
            <w:pPr>
              <w:rPr>
                <w:rFonts w:eastAsia="游明朝"/>
              </w:rPr>
            </w:pPr>
            <w:r>
              <w:rPr>
                <w:rFonts w:eastAsia="游明朝"/>
              </w:rPr>
              <w:t xml:space="preserve">UE autonmously conduct propagtion delay compensation when </w:t>
            </w:r>
            <w:r w:rsidR="007A7E0A">
              <w:rPr>
                <w:rFonts w:eastAsia="游明朝"/>
              </w:rPr>
              <w:t xml:space="preserve">estimated PD is larger than pre-confiugred PD threshold. </w:t>
            </w:r>
            <w:r>
              <w:rPr>
                <w:rFonts w:eastAsia="游明朝"/>
              </w:rPr>
              <w:t>No addtional signaling of explict indication is needed.</w:t>
            </w:r>
          </w:p>
        </w:tc>
        <w:tc>
          <w:tcPr>
            <w:tcW w:w="4105" w:type="dxa"/>
          </w:tcPr>
          <w:p w14:paraId="630C1F3C" w14:textId="6162BF6F" w:rsidR="00051B37" w:rsidRPr="002B0A5D" w:rsidRDefault="00051B37" w:rsidP="00F5684C">
            <w:pPr>
              <w:rPr>
                <w:rFonts w:eastAsia="游明朝"/>
              </w:rPr>
            </w:pPr>
            <w:r>
              <w:rPr>
                <w:rFonts w:eastAsia="游明朝"/>
              </w:rPr>
              <w:t>Duplicated delay compensation by both UE and network may happen.</w:t>
            </w:r>
          </w:p>
        </w:tc>
      </w:tr>
      <w:tr w:rsidR="00051B37" w:rsidRPr="002B0A5D" w14:paraId="450EEBE4" w14:textId="77777777" w:rsidTr="00F5684C">
        <w:tc>
          <w:tcPr>
            <w:tcW w:w="1555" w:type="dxa"/>
          </w:tcPr>
          <w:p w14:paraId="093D4731" w14:textId="77777777" w:rsidR="00051B37" w:rsidRPr="002B0A5D" w:rsidRDefault="00051B37" w:rsidP="00F5684C">
            <w:pPr>
              <w:rPr>
                <w:rFonts w:eastAsia="游明朝"/>
                <w:b/>
              </w:rPr>
            </w:pPr>
            <w:r>
              <w:rPr>
                <w:rFonts w:eastAsia="游明朝" w:hint="eastAsia"/>
                <w:b/>
              </w:rPr>
              <w:t>Option2</w:t>
            </w:r>
          </w:p>
        </w:tc>
        <w:tc>
          <w:tcPr>
            <w:tcW w:w="3969" w:type="dxa"/>
          </w:tcPr>
          <w:p w14:paraId="50E8BD64" w14:textId="4F14EBCF" w:rsidR="00051B37" w:rsidRDefault="00051B37" w:rsidP="00F5684C">
            <w:pPr>
              <w:rPr>
                <w:rFonts w:eastAsia="游明朝"/>
              </w:rPr>
            </w:pPr>
            <w:r>
              <w:rPr>
                <w:rFonts w:eastAsia="游明朝"/>
              </w:rPr>
              <w:t>T</w:t>
            </w:r>
            <w:r>
              <w:rPr>
                <w:rFonts w:eastAsia="游明朝" w:hint="eastAsia"/>
              </w:rPr>
              <w:t xml:space="preserve">he </w:t>
            </w:r>
            <w:r>
              <w:rPr>
                <w:rFonts w:eastAsia="游明朝"/>
              </w:rPr>
              <w:t>indication of propagation delay compensation can be flexibly control</w:t>
            </w:r>
            <w:r w:rsidR="00C701C1">
              <w:rPr>
                <w:rFonts w:eastAsia="游明朝"/>
              </w:rPr>
              <w:t>l</w:t>
            </w:r>
            <w:r>
              <w:rPr>
                <w:rFonts w:eastAsia="游明朝"/>
              </w:rPr>
              <w:t>ed by network.</w:t>
            </w:r>
          </w:p>
          <w:p w14:paraId="622497FD" w14:textId="116B5A29" w:rsidR="00051B37" w:rsidRPr="002B0A5D" w:rsidRDefault="00051B37" w:rsidP="00F5684C">
            <w:pPr>
              <w:rPr>
                <w:rFonts w:eastAsia="游明朝"/>
              </w:rPr>
            </w:pPr>
            <w:r>
              <w:rPr>
                <w:rFonts w:eastAsia="游明朝"/>
              </w:rPr>
              <w:t>Duplicated delay compensation by both UE and network can be avoided.</w:t>
            </w:r>
          </w:p>
        </w:tc>
        <w:tc>
          <w:tcPr>
            <w:tcW w:w="4105" w:type="dxa"/>
          </w:tcPr>
          <w:p w14:paraId="30E7BB73" w14:textId="0DA39C91" w:rsidR="00051B37" w:rsidRPr="00051B37" w:rsidRDefault="00C701C1" w:rsidP="00F5684C">
            <w:pPr>
              <w:rPr>
                <w:rFonts w:eastAsia="游明朝"/>
              </w:rPr>
            </w:pPr>
            <w:r>
              <w:rPr>
                <w:rFonts w:eastAsia="游明朝"/>
              </w:rPr>
              <w:t>Additional</w:t>
            </w:r>
            <w:r w:rsidR="00051B37" w:rsidRPr="00051B37">
              <w:rPr>
                <w:rFonts w:eastAsia="游明朝"/>
              </w:rPr>
              <w:t xml:space="preserve"> signaling for delay compensation indication is needed. </w:t>
            </w:r>
          </w:p>
        </w:tc>
      </w:tr>
    </w:tbl>
    <w:p w14:paraId="2FE08916" w14:textId="68BD29F0" w:rsidR="007A7E0A" w:rsidRDefault="007A7E0A" w:rsidP="00AF3157">
      <w:pPr>
        <w:rPr>
          <w:b/>
        </w:rPr>
      </w:pPr>
    </w:p>
    <w:p w14:paraId="1B9FB302" w14:textId="7E41A565" w:rsidR="00AF3157" w:rsidRPr="00AF3157" w:rsidRDefault="007A7E0A" w:rsidP="00AF3157">
      <w:pPr>
        <w:rPr>
          <w:b/>
        </w:rPr>
      </w:pPr>
      <w:r>
        <w:rPr>
          <w:b/>
        </w:rPr>
        <w:t>Proposal2: A PD</w:t>
      </w:r>
      <w:r w:rsidR="00AF3157">
        <w:rPr>
          <w:b/>
        </w:rPr>
        <w:t xml:space="preserve"> threshold is </w:t>
      </w:r>
      <w:r>
        <w:rPr>
          <w:b/>
        </w:rPr>
        <w:t>pre-</w:t>
      </w:r>
      <w:r w:rsidR="00AF3157">
        <w:rPr>
          <w:b/>
        </w:rPr>
        <w:t>configured for the purpose of propagation del</w:t>
      </w:r>
      <w:r>
        <w:rPr>
          <w:b/>
        </w:rPr>
        <w:t xml:space="preserve">ay compensation. If the estimated PD </w:t>
      </w:r>
      <w:r w:rsidR="00AF3157">
        <w:rPr>
          <w:b/>
        </w:rPr>
        <w:t xml:space="preserve">is larger than the threshold, UE conduct the delay compensation autonomously. </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560534D9" w14:textId="77777777" w:rsidR="007A7E0A" w:rsidRPr="007A7E0A" w:rsidRDefault="007A7E0A" w:rsidP="007A7E0A">
      <w:pPr>
        <w:rPr>
          <w:rFonts w:hint="eastAsia"/>
          <w:b/>
          <w:lang w:val="en-US"/>
        </w:rPr>
      </w:pPr>
      <w:bookmarkStart w:id="2" w:name="_In-sequence_SDU_delivery"/>
      <w:bookmarkEnd w:id="2"/>
      <w:r w:rsidRPr="007A7E0A">
        <w:rPr>
          <w:rFonts w:hint="eastAsia"/>
          <w:b/>
          <w:lang w:val="en-US"/>
        </w:rPr>
        <w:t>Observation1:</w:t>
      </w:r>
      <w:r>
        <w:rPr>
          <w:b/>
          <w:lang w:val="en-US"/>
        </w:rPr>
        <w:t xml:space="preserve"> </w:t>
      </w:r>
      <w:r w:rsidRPr="007A7E0A">
        <w:rPr>
          <w:b/>
          <w:lang w:val="en-US"/>
        </w:rPr>
        <w:t>TA based PD compensation is hardly to satisfy control-to-control (scenario2)</w:t>
      </w:r>
      <w:r w:rsidRPr="007A7E0A">
        <w:rPr>
          <w:rFonts w:hint="eastAsia"/>
          <w:b/>
          <w:lang w:val="en-US"/>
        </w:rPr>
        <w:t xml:space="preserve"> </w:t>
      </w:r>
      <w:r w:rsidRPr="007A7E0A">
        <w:rPr>
          <w:b/>
          <w:lang w:val="en-US"/>
        </w:rPr>
        <w:t xml:space="preserve">synchronicity budget, RTT method </w:t>
      </w:r>
      <w:r>
        <w:rPr>
          <w:b/>
          <w:lang w:val="en-US"/>
        </w:rPr>
        <w:t>could be taken into account as a</w:t>
      </w:r>
      <w:r w:rsidRPr="007A7E0A">
        <w:rPr>
          <w:b/>
          <w:lang w:val="en-US"/>
        </w:rPr>
        <w:t xml:space="preserve"> candidate </w:t>
      </w:r>
      <w:r>
        <w:rPr>
          <w:b/>
          <w:lang w:val="en-US"/>
        </w:rPr>
        <w:t xml:space="preserve">solution </w:t>
      </w:r>
      <w:r w:rsidRPr="007A7E0A">
        <w:rPr>
          <w:b/>
          <w:lang w:val="en-US"/>
        </w:rPr>
        <w:t>instead.</w:t>
      </w:r>
    </w:p>
    <w:p w14:paraId="20C95601" w14:textId="77777777" w:rsidR="007A7E0A" w:rsidRPr="007A7E0A" w:rsidRDefault="007A7E0A" w:rsidP="007A7E0A">
      <w:pPr>
        <w:rPr>
          <w:b/>
          <w:lang w:val="en-US"/>
        </w:rPr>
      </w:pPr>
      <w:r w:rsidRPr="007A7E0A">
        <w:rPr>
          <w:b/>
          <w:lang w:val="en-US"/>
        </w:rPr>
        <w:t>O</w:t>
      </w:r>
      <w:r w:rsidRPr="007A7E0A">
        <w:rPr>
          <w:rFonts w:hint="eastAsia"/>
          <w:b/>
          <w:lang w:val="en-US"/>
        </w:rPr>
        <w:t xml:space="preserve">bservation2: </w:t>
      </w:r>
      <w:r w:rsidRPr="007A7E0A">
        <w:rPr>
          <w:b/>
          <w:lang w:val="en-US"/>
        </w:rPr>
        <w:t xml:space="preserve">In LTE, the UE Rx-Tx time difference measurement is specified in both LPP and RRC spec. </w:t>
      </w:r>
    </w:p>
    <w:p w14:paraId="66F530CA" w14:textId="77777777" w:rsidR="007A7E0A" w:rsidRPr="007A7E0A" w:rsidRDefault="007A7E0A" w:rsidP="007A7E0A">
      <w:pPr>
        <w:rPr>
          <w:b/>
          <w:lang w:val="en-US"/>
        </w:rPr>
      </w:pPr>
      <w:r w:rsidRPr="007A7E0A">
        <w:rPr>
          <w:b/>
          <w:lang w:val="en-US"/>
        </w:rPr>
        <w:t>Observation3: In LTE, only periodical UE Rx</w:t>
      </w:r>
      <w:r>
        <w:rPr>
          <w:b/>
          <w:lang w:val="en-US"/>
        </w:rPr>
        <w:t>-Tx time difference was specified</w:t>
      </w:r>
      <w:r w:rsidRPr="007A7E0A">
        <w:rPr>
          <w:b/>
          <w:lang w:val="en-US"/>
        </w:rPr>
        <w:t>,</w:t>
      </w:r>
      <w:r>
        <w:rPr>
          <w:b/>
          <w:lang w:val="en-US"/>
        </w:rPr>
        <w:t xml:space="preserve"> while e</w:t>
      </w:r>
      <w:r w:rsidRPr="007A7E0A">
        <w:rPr>
          <w:b/>
          <w:lang w:val="en-US"/>
        </w:rPr>
        <w:t xml:space="preserve">vent type UE Rx-Tx time difference reporting is </w:t>
      </w:r>
      <w:r>
        <w:rPr>
          <w:b/>
          <w:lang w:val="en-US"/>
        </w:rPr>
        <w:t xml:space="preserve">also </w:t>
      </w:r>
      <w:r w:rsidRPr="007A7E0A">
        <w:rPr>
          <w:b/>
          <w:lang w:val="en-US"/>
        </w:rPr>
        <w:t xml:space="preserve">beneficial for TSN </w:t>
      </w:r>
      <w:r>
        <w:rPr>
          <w:b/>
          <w:lang w:val="en-US"/>
        </w:rPr>
        <w:t xml:space="preserve">PD compensation </w:t>
      </w:r>
      <w:r w:rsidRPr="007A7E0A">
        <w:rPr>
          <w:b/>
          <w:lang w:val="en-US"/>
        </w:rPr>
        <w:t>use case.</w:t>
      </w:r>
    </w:p>
    <w:p w14:paraId="675D99B6" w14:textId="77777777" w:rsidR="007A7E0A" w:rsidRPr="007A7E0A" w:rsidRDefault="007A7E0A" w:rsidP="007A7E0A">
      <w:pPr>
        <w:rPr>
          <w:b/>
          <w:lang w:val="en-US"/>
        </w:rPr>
      </w:pPr>
      <w:r w:rsidRPr="007A7E0A">
        <w:rPr>
          <w:b/>
          <w:lang w:val="en-US"/>
        </w:rPr>
        <w:t>Observation4: LMF is not necessary to be involved in RTT calculation</w:t>
      </w:r>
      <w:r>
        <w:rPr>
          <w:b/>
          <w:lang w:val="en-US"/>
        </w:rPr>
        <w:t xml:space="preserve"> f</w:t>
      </w:r>
      <w:r w:rsidRPr="007A7E0A">
        <w:rPr>
          <w:b/>
          <w:lang w:val="en-US"/>
        </w:rPr>
        <w:t xml:space="preserve">or TSN </w:t>
      </w:r>
      <w:r>
        <w:rPr>
          <w:b/>
          <w:lang w:val="en-US"/>
        </w:rPr>
        <w:t xml:space="preserve">PD compensation </w:t>
      </w:r>
      <w:r w:rsidRPr="007A7E0A">
        <w:rPr>
          <w:b/>
          <w:lang w:val="en-US"/>
        </w:rPr>
        <w:t xml:space="preserve">use case. </w:t>
      </w:r>
    </w:p>
    <w:p w14:paraId="0CDEBD47" w14:textId="77777777" w:rsidR="007A7E0A" w:rsidRPr="007A7E0A" w:rsidRDefault="007A7E0A" w:rsidP="007A7E0A">
      <w:pPr>
        <w:rPr>
          <w:b/>
          <w:lang w:val="en-US"/>
        </w:rPr>
      </w:pPr>
      <w:r w:rsidRPr="007A7E0A">
        <w:rPr>
          <w:rFonts w:hint="eastAsia"/>
          <w:b/>
          <w:lang w:val="en-US"/>
        </w:rPr>
        <w:t xml:space="preserve">Proposal1: </w:t>
      </w:r>
      <w:r>
        <w:rPr>
          <w:b/>
          <w:lang w:val="en-US"/>
        </w:rPr>
        <w:t xml:space="preserve">RAN2 to </w:t>
      </w:r>
      <w:r>
        <w:rPr>
          <w:rFonts w:hint="eastAsia"/>
          <w:b/>
          <w:lang w:val="en-US"/>
        </w:rPr>
        <w:t>i</w:t>
      </w:r>
      <w:r w:rsidRPr="007A7E0A">
        <w:rPr>
          <w:rFonts w:hint="eastAsia"/>
          <w:b/>
          <w:lang w:val="en-US"/>
        </w:rPr>
        <w:t xml:space="preserve">ntroduce both periodical and event type UE Rx-Tx time difference measurement </w:t>
      </w:r>
      <w:r w:rsidRPr="007A7E0A">
        <w:rPr>
          <w:b/>
          <w:lang w:val="en-US"/>
        </w:rPr>
        <w:t xml:space="preserve">and reporting </w:t>
      </w:r>
      <w:r>
        <w:rPr>
          <w:rFonts w:hint="eastAsia"/>
          <w:b/>
          <w:lang w:val="en-US"/>
        </w:rPr>
        <w:t>in NR</w:t>
      </w:r>
      <w:r w:rsidRPr="007A7E0A">
        <w:rPr>
          <w:rFonts w:hint="eastAsia"/>
          <w:b/>
          <w:lang w:val="en-US"/>
        </w:rPr>
        <w:t xml:space="preserve"> RRC spec</w:t>
      </w:r>
      <w:r>
        <w:rPr>
          <w:b/>
          <w:lang w:val="en-US"/>
        </w:rPr>
        <w:t xml:space="preserve"> f</w:t>
      </w:r>
      <w:r w:rsidRPr="007A7E0A">
        <w:rPr>
          <w:b/>
          <w:lang w:val="en-US"/>
        </w:rPr>
        <w:t xml:space="preserve">or TSN </w:t>
      </w:r>
      <w:r>
        <w:rPr>
          <w:b/>
          <w:lang w:val="en-US"/>
        </w:rPr>
        <w:t xml:space="preserve">PD compensation </w:t>
      </w:r>
      <w:r w:rsidRPr="007A7E0A">
        <w:rPr>
          <w:b/>
          <w:lang w:val="en-US"/>
        </w:rPr>
        <w:t>use case</w:t>
      </w:r>
      <w:r w:rsidRPr="007A7E0A">
        <w:rPr>
          <w:rFonts w:hint="eastAsia"/>
          <w:b/>
          <w:lang w:val="en-US"/>
        </w:rPr>
        <w:t>.</w:t>
      </w:r>
    </w:p>
    <w:p w14:paraId="1D40D179" w14:textId="77777777" w:rsidR="007A7E0A" w:rsidRPr="00AF3157" w:rsidRDefault="007A7E0A" w:rsidP="007A7E0A">
      <w:pPr>
        <w:rPr>
          <w:b/>
        </w:rPr>
      </w:pPr>
      <w:r>
        <w:rPr>
          <w:b/>
        </w:rPr>
        <w:t xml:space="preserve">Proposal2: A PD threshold is pre-configured for the purpose of propagation delay compensation. If the estimated PD is larger than the threshold, UE conduct the delay compensation autonomously. </w:t>
      </w:r>
    </w:p>
    <w:p w14:paraId="0325A812" w14:textId="77777777" w:rsidR="00AF3157" w:rsidRPr="007A7E0A" w:rsidRDefault="00AF3157" w:rsidP="00AF3157">
      <w:pPr>
        <w:rPr>
          <w:b/>
        </w:rPr>
      </w:pPr>
    </w:p>
    <w:p w14:paraId="7C01197C" w14:textId="6ABFDE70" w:rsidR="00FB795B" w:rsidRPr="003100C3" w:rsidRDefault="009242B3" w:rsidP="00FB795B">
      <w:pPr>
        <w:pStyle w:val="1"/>
        <w:rPr>
          <w:rFonts w:cs="Arial"/>
        </w:rPr>
      </w:pPr>
      <w:r>
        <w:rPr>
          <w:rFonts w:cs="Arial"/>
        </w:rPr>
        <w:t xml:space="preserve">4. </w:t>
      </w:r>
      <w:r w:rsidR="00FB795B" w:rsidRPr="003100C3">
        <w:rPr>
          <w:rFonts w:cs="Arial"/>
        </w:rPr>
        <w:t>References</w:t>
      </w:r>
    </w:p>
    <w:p w14:paraId="35510A3D" w14:textId="150F5758" w:rsidR="004E4A7D" w:rsidRDefault="007A7E0A" w:rsidP="00F83002">
      <w:pPr>
        <w:numPr>
          <w:ilvl w:val="0"/>
          <w:numId w:val="13"/>
        </w:numPr>
        <w:rPr>
          <w:rFonts w:ascii="Arial" w:hAnsi="Arial" w:cs="Arial"/>
        </w:rPr>
      </w:pPr>
      <w:r>
        <w:rPr>
          <w:rFonts w:ascii="Arial" w:hAnsi="Arial" w:cs="Arial"/>
        </w:rPr>
        <w:t xml:space="preserve">R2-2010837 </w:t>
      </w:r>
      <w:r w:rsidR="00AF3157">
        <w:rPr>
          <w:rFonts w:ascii="Arial" w:hAnsi="Arial" w:cs="Arial"/>
        </w:rPr>
        <w:t xml:space="preserve"> </w:t>
      </w:r>
      <w:r w:rsidRPr="008A13A7">
        <w:rPr>
          <w:rFonts w:ascii="Arial" w:hAnsi="Arial" w:cs="Arial"/>
          <w:bCs/>
        </w:rPr>
        <w:t>Reply</w:t>
      </w:r>
      <w:r>
        <w:rPr>
          <w:rFonts w:ascii="Arial" w:hAnsi="Arial" w:cs="Arial"/>
          <w:bCs/>
        </w:rPr>
        <w:t xml:space="preserve"> </w:t>
      </w:r>
      <w:r w:rsidRPr="00A8524C">
        <w:rPr>
          <w:rFonts w:ascii="Arial" w:hAnsi="Arial" w:cs="Arial"/>
        </w:rPr>
        <w:t>L</w:t>
      </w:r>
      <w:r>
        <w:rPr>
          <w:rFonts w:ascii="Arial" w:hAnsi="Arial" w:cs="Arial"/>
          <w:bCs/>
        </w:rPr>
        <w:t xml:space="preserve">S on </w:t>
      </w:r>
      <w:r>
        <w:rPr>
          <w:rFonts w:ascii="Arial" w:hAnsi="Arial" w:cs="Arial"/>
        </w:rPr>
        <w:t>propagation delay compensation enhancements</w:t>
      </w:r>
    </w:p>
    <w:p w14:paraId="53E77D15" w14:textId="6FDC5EBA" w:rsidR="00226B90" w:rsidRDefault="007A7E0A" w:rsidP="007A7E0A">
      <w:pPr>
        <w:numPr>
          <w:ilvl w:val="0"/>
          <w:numId w:val="13"/>
        </w:numPr>
        <w:rPr>
          <w:rFonts w:ascii="Arial" w:hAnsi="Arial" w:cs="Arial"/>
        </w:rPr>
      </w:pPr>
      <w:r w:rsidRPr="007A7E0A">
        <w:rPr>
          <w:rFonts w:ascii="Arial" w:hAnsi="Arial" w:cs="Arial"/>
        </w:rPr>
        <w:t>R1-2009551</w:t>
      </w:r>
      <w:r w:rsidRPr="007A7E0A">
        <w:rPr>
          <w:rFonts w:ascii="Arial" w:hAnsi="Arial" w:cs="Arial"/>
        </w:rPr>
        <w:tab/>
        <w:t>Feature lead summary on propagation delay compensation enhancements (AI 8.3.4)</w:t>
      </w:r>
      <w:r w:rsidRPr="007A7E0A">
        <w:rPr>
          <w:rFonts w:ascii="Arial" w:hAnsi="Arial" w:cs="Arial"/>
        </w:rPr>
        <w:tab/>
        <w:t>Moderator (Huawei)</w:t>
      </w:r>
      <w:r w:rsidR="00226B90">
        <w:rPr>
          <w:rFonts w:ascii="Arial" w:hAnsi="Arial" w:cs="Arial"/>
        </w:rPr>
        <w:t>TS 22.104</w:t>
      </w:r>
    </w:p>
    <w:p w14:paraId="48985614" w14:textId="4BDFB339" w:rsidR="00226B90" w:rsidRDefault="007A7E0A" w:rsidP="007A7E0A">
      <w:pPr>
        <w:numPr>
          <w:ilvl w:val="0"/>
          <w:numId w:val="13"/>
        </w:numPr>
        <w:rPr>
          <w:rFonts w:ascii="Arial" w:hAnsi="Arial" w:cs="Arial"/>
        </w:rPr>
      </w:pPr>
      <w:r w:rsidRPr="007A7E0A">
        <w:rPr>
          <w:rFonts w:ascii="Arial" w:hAnsi="Arial" w:cs="Arial"/>
        </w:rPr>
        <w:t>R1-2007711</w:t>
      </w:r>
      <w:r w:rsidRPr="007A7E0A">
        <w:rPr>
          <w:rFonts w:ascii="Arial" w:hAnsi="Arial" w:cs="Arial"/>
        </w:rPr>
        <w:tab/>
        <w:t>Propagation Delay Compensation Enhancements for Time Synchronization</w:t>
      </w:r>
      <w:r w:rsidRPr="007A7E0A">
        <w:rPr>
          <w:rFonts w:ascii="Arial" w:hAnsi="Arial" w:cs="Arial"/>
        </w:rPr>
        <w:tab/>
        <w:t>Ericsson</w:t>
      </w:r>
    </w:p>
    <w:p w14:paraId="5FEB6E2B" w14:textId="2E44D779" w:rsidR="007A7E0A" w:rsidRDefault="007A7E0A" w:rsidP="007A7E0A">
      <w:pPr>
        <w:numPr>
          <w:ilvl w:val="0"/>
          <w:numId w:val="13"/>
        </w:numPr>
        <w:rPr>
          <w:rFonts w:ascii="Arial" w:hAnsi="Arial" w:cs="Arial"/>
        </w:rPr>
      </w:pPr>
      <w:r w:rsidRPr="007A7E0A">
        <w:rPr>
          <w:rFonts w:ascii="Arial" w:hAnsi="Arial" w:cs="Arial"/>
        </w:rPr>
        <w:lastRenderedPageBreak/>
        <w:t>R1-2009261</w:t>
      </w:r>
      <w:r w:rsidRPr="007A7E0A">
        <w:rPr>
          <w:rFonts w:ascii="Arial" w:hAnsi="Arial" w:cs="Arial"/>
        </w:rPr>
        <w:tab/>
        <w:t>Enhancements for support of time synchronization for enhanced IIoT and URLLC</w:t>
      </w:r>
      <w:r w:rsidRPr="007A7E0A">
        <w:rPr>
          <w:rFonts w:ascii="Arial" w:hAnsi="Arial" w:cs="Arial"/>
        </w:rPr>
        <w:tab/>
        <w:t>Qualcomm</w:t>
      </w:r>
    </w:p>
    <w:p w14:paraId="220B0531" w14:textId="2A57BF14" w:rsidR="007A7E0A" w:rsidRDefault="007A7E0A" w:rsidP="007A7E0A">
      <w:pPr>
        <w:numPr>
          <w:ilvl w:val="0"/>
          <w:numId w:val="13"/>
        </w:numPr>
        <w:rPr>
          <w:rFonts w:ascii="Arial" w:hAnsi="Arial" w:cs="Arial"/>
        </w:rPr>
      </w:pPr>
      <w:r>
        <w:rPr>
          <w:rFonts w:ascii="Arial" w:hAnsi="Arial" w:cs="Arial"/>
        </w:rPr>
        <w:t>TS 38.215</w:t>
      </w:r>
    </w:p>
    <w:sectPr w:rsidR="007A7E0A" w:rsidSect="009242B3">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3154E" w14:textId="77777777" w:rsidR="0018690B" w:rsidRDefault="0018690B">
      <w:r>
        <w:separator/>
      </w:r>
    </w:p>
  </w:endnote>
  <w:endnote w:type="continuationSeparator" w:id="0">
    <w:p w14:paraId="6CDB576C" w14:textId="77777777" w:rsidR="0018690B" w:rsidRDefault="0018690B">
      <w:r>
        <w:continuationSeparator/>
      </w:r>
    </w:p>
  </w:endnote>
  <w:endnote w:type="continuationNotice" w:id="1">
    <w:p w14:paraId="19FBBE3F" w14:textId="77777777" w:rsidR="0018690B" w:rsidRDefault="00186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ｨｬ?"/>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ｩ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ｦﾌｨｨ??"/>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5FCC38BF"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F610A9">
      <w:rPr>
        <w:rStyle w:val="af3"/>
      </w:rPr>
      <w:t>3</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F610A9">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DAF01" w14:textId="77777777" w:rsidR="0018690B" w:rsidRDefault="0018690B">
      <w:r>
        <w:separator/>
      </w:r>
    </w:p>
  </w:footnote>
  <w:footnote w:type="continuationSeparator" w:id="0">
    <w:p w14:paraId="43ED5883" w14:textId="77777777" w:rsidR="0018690B" w:rsidRDefault="0018690B">
      <w:r>
        <w:continuationSeparator/>
      </w:r>
    </w:p>
  </w:footnote>
  <w:footnote w:type="continuationNotice" w:id="1">
    <w:p w14:paraId="01BCFAC6" w14:textId="77777777" w:rsidR="0018690B" w:rsidRDefault="001869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415BC2"/>
    <w:multiLevelType w:val="hybridMultilevel"/>
    <w:tmpl w:val="F8B8728A"/>
    <w:lvl w:ilvl="0" w:tplc="AF2EF3BC">
      <w:start w:val="1"/>
      <w:numFmt w:val="bullet"/>
      <w:lvlText w:val="-"/>
      <w:lvlJc w:val="left"/>
      <w:pPr>
        <w:ind w:left="420" w:hanging="420"/>
      </w:pPr>
      <w:rPr>
        <w:rFonts w:ascii="Arial" w:eastAsia="Times New Roman" w:hAnsi="Arial" w:cs="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4"/>
  </w:num>
  <w:num w:numId="2">
    <w:abstractNumId w:val="20"/>
  </w:num>
  <w:num w:numId="3">
    <w:abstractNumId w:val="0"/>
  </w:num>
  <w:num w:numId="4">
    <w:abstractNumId w:val="27"/>
  </w:num>
  <w:num w:numId="5">
    <w:abstractNumId w:val="28"/>
  </w:num>
  <w:num w:numId="6">
    <w:abstractNumId w:val="32"/>
  </w:num>
  <w:num w:numId="7">
    <w:abstractNumId w:val="13"/>
  </w:num>
  <w:num w:numId="8">
    <w:abstractNumId w:val="16"/>
  </w:num>
  <w:num w:numId="9">
    <w:abstractNumId w:val="5"/>
  </w:num>
  <w:num w:numId="10">
    <w:abstractNumId w:val="40"/>
  </w:num>
  <w:num w:numId="11">
    <w:abstractNumId w:val="17"/>
  </w:num>
  <w:num w:numId="12">
    <w:abstractNumId w:val="37"/>
  </w:num>
  <w:num w:numId="13">
    <w:abstractNumId w:val="18"/>
  </w:num>
  <w:num w:numId="14">
    <w:abstractNumId w:val="38"/>
  </w:num>
  <w:num w:numId="15">
    <w:abstractNumId w:val="2"/>
  </w:num>
  <w:num w:numId="16">
    <w:abstractNumId w:val="25"/>
  </w:num>
  <w:num w:numId="17">
    <w:abstractNumId w:val="12"/>
  </w:num>
  <w:num w:numId="18">
    <w:abstractNumId w:val="29"/>
  </w:num>
  <w:num w:numId="19">
    <w:abstractNumId w:val="11"/>
  </w:num>
  <w:num w:numId="20">
    <w:abstractNumId w:val="4"/>
  </w:num>
  <w:num w:numId="21">
    <w:abstractNumId w:val="15"/>
  </w:num>
  <w:num w:numId="22">
    <w:abstractNumId w:val="23"/>
  </w:num>
  <w:num w:numId="23">
    <w:abstractNumId w:val="35"/>
  </w:num>
  <w:num w:numId="24">
    <w:abstractNumId w:val="14"/>
  </w:num>
  <w:num w:numId="25">
    <w:abstractNumId w:val="10"/>
  </w:num>
  <w:num w:numId="26">
    <w:abstractNumId w:val="33"/>
  </w:num>
  <w:num w:numId="27">
    <w:abstractNumId w:val="31"/>
  </w:num>
  <w:num w:numId="28">
    <w:abstractNumId w:val="34"/>
  </w:num>
  <w:num w:numId="29">
    <w:abstractNumId w:val="1"/>
  </w:num>
  <w:num w:numId="30">
    <w:abstractNumId w:val="8"/>
  </w:num>
  <w:num w:numId="31">
    <w:abstractNumId w:val="30"/>
  </w:num>
  <w:num w:numId="32">
    <w:abstractNumId w:val="7"/>
  </w:num>
  <w:num w:numId="33">
    <w:abstractNumId w:val="41"/>
  </w:num>
  <w:num w:numId="34">
    <w:abstractNumId w:val="21"/>
  </w:num>
  <w:num w:numId="35">
    <w:abstractNumId w:val="36"/>
  </w:num>
  <w:num w:numId="36">
    <w:abstractNumId w:val="6"/>
  </w:num>
  <w:num w:numId="37">
    <w:abstractNumId w:val="9"/>
  </w:num>
  <w:num w:numId="38">
    <w:abstractNumId w:val="19"/>
  </w:num>
  <w:num w:numId="39">
    <w:abstractNumId w:val="22"/>
  </w:num>
  <w:num w:numId="40">
    <w:abstractNumId w:val="39"/>
  </w:num>
  <w:num w:numId="41">
    <w:abstractNumId w:val="26"/>
  </w:num>
  <w:num w:numId="42">
    <w:abstractNumId w:val="39"/>
  </w:num>
  <w:num w:numId="43">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1B37"/>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39A0"/>
    <w:rsid w:val="001062FB"/>
    <w:rsid w:val="001063E6"/>
    <w:rsid w:val="001112D1"/>
    <w:rsid w:val="00112A99"/>
    <w:rsid w:val="00113CF4"/>
    <w:rsid w:val="001153EA"/>
    <w:rsid w:val="00115643"/>
    <w:rsid w:val="001163C8"/>
    <w:rsid w:val="00116765"/>
    <w:rsid w:val="00117269"/>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4C04"/>
    <w:rsid w:val="001659C1"/>
    <w:rsid w:val="001737D0"/>
    <w:rsid w:val="00173A8E"/>
    <w:rsid w:val="0017502C"/>
    <w:rsid w:val="0018143F"/>
    <w:rsid w:val="00181FF8"/>
    <w:rsid w:val="00184917"/>
    <w:rsid w:val="0018690B"/>
    <w:rsid w:val="00190AC1"/>
    <w:rsid w:val="0019221B"/>
    <w:rsid w:val="0019341A"/>
    <w:rsid w:val="00197DF9"/>
    <w:rsid w:val="001A02CF"/>
    <w:rsid w:val="001A0FFE"/>
    <w:rsid w:val="001A1987"/>
    <w:rsid w:val="001A2564"/>
    <w:rsid w:val="001A6173"/>
    <w:rsid w:val="001A6CBA"/>
    <w:rsid w:val="001B08A7"/>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26B90"/>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5F81"/>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0A5D"/>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45F"/>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99B"/>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6919"/>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4768"/>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5C37"/>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6A18"/>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6E7"/>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A7E0A"/>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071E"/>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09BD"/>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3157"/>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675A3"/>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A7EB5"/>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1C1"/>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009B"/>
    <w:rsid w:val="00CA1ED8"/>
    <w:rsid w:val="00CA2B17"/>
    <w:rsid w:val="00CA2FE4"/>
    <w:rsid w:val="00CA5F22"/>
    <w:rsid w:val="00CB028C"/>
    <w:rsid w:val="00CB1825"/>
    <w:rsid w:val="00CB1F63"/>
    <w:rsid w:val="00CB49EB"/>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4CFE"/>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407"/>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10A9"/>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2EC"/>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5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757</TotalTime>
  <Pages>4</Pages>
  <Words>1157</Words>
  <Characters>6599</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7741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7</cp:revision>
  <cp:lastPrinted>2008-01-31T07:09:00Z</cp:lastPrinted>
  <dcterms:created xsi:type="dcterms:W3CDTF">2020-10-23T01:57:00Z</dcterms:created>
  <dcterms:modified xsi:type="dcterms:W3CDTF">2021-01-15T06:22:00Z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